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D41F" w14:textId="19E3C28F" w:rsidR="00C13635" w:rsidRDefault="00B13ACF" w:rsidP="00B13ACF">
      <w:pPr>
        <w:jc w:val="center"/>
        <w:rPr>
          <w:b/>
          <w:bCs/>
          <w:sz w:val="36"/>
          <w:szCs w:val="36"/>
        </w:rPr>
      </w:pPr>
      <w:r w:rsidRPr="00B13ACF">
        <w:rPr>
          <w:b/>
          <w:bCs/>
          <w:sz w:val="36"/>
          <w:szCs w:val="36"/>
        </w:rPr>
        <w:t>Remboursement des frais de déplacement des élus</w:t>
      </w:r>
    </w:p>
    <w:p w14:paraId="51ABAC6A" w14:textId="420240F2" w:rsidR="00B13ACF" w:rsidRDefault="00B13ACF" w:rsidP="00B13ACF">
      <w:pPr>
        <w:jc w:val="center"/>
        <w:rPr>
          <w:b/>
          <w:bCs/>
          <w:sz w:val="36"/>
          <w:szCs w:val="36"/>
        </w:rPr>
      </w:pPr>
    </w:p>
    <w:p w14:paraId="29B30ACD" w14:textId="3FDC8800" w:rsidR="00B13ACF" w:rsidRPr="00B13ACF" w:rsidRDefault="00B13ACF" w:rsidP="00B13ACF">
      <w:pPr>
        <w:jc w:val="both"/>
        <w:rPr>
          <w:sz w:val="28"/>
          <w:szCs w:val="28"/>
        </w:rPr>
      </w:pPr>
      <w:r w:rsidRPr="00B13ACF">
        <w:rPr>
          <w:sz w:val="28"/>
          <w:szCs w:val="28"/>
        </w:rPr>
        <w:t xml:space="preserve">Le CSE peut décider de prendre en charge les frais occasionnés par les déplacements des membres du comité pour l'exercice de leur mission. </w:t>
      </w:r>
      <w:r>
        <w:rPr>
          <w:sz w:val="28"/>
          <w:szCs w:val="28"/>
        </w:rPr>
        <w:t>Cela entre dans le cadre du budget de fonctionnement.</w:t>
      </w:r>
    </w:p>
    <w:p w14:paraId="54B21391" w14:textId="77777777" w:rsidR="00B13ACF" w:rsidRPr="00B13ACF" w:rsidRDefault="00B13ACF" w:rsidP="00B13ACF">
      <w:pPr>
        <w:jc w:val="both"/>
        <w:rPr>
          <w:sz w:val="28"/>
          <w:szCs w:val="28"/>
        </w:rPr>
      </w:pPr>
    </w:p>
    <w:p w14:paraId="4EA58B40" w14:textId="6C2E1D34" w:rsidR="00B13ACF" w:rsidRPr="00B13ACF" w:rsidRDefault="00B13ACF" w:rsidP="00B13ACF">
      <w:pPr>
        <w:jc w:val="both"/>
        <w:rPr>
          <w:sz w:val="28"/>
          <w:szCs w:val="28"/>
        </w:rPr>
      </w:pPr>
      <w:r>
        <w:rPr>
          <w:sz w:val="28"/>
          <w:szCs w:val="28"/>
        </w:rPr>
        <w:t>I</w:t>
      </w:r>
      <w:r w:rsidRPr="00B13ACF">
        <w:rPr>
          <w:sz w:val="28"/>
          <w:szCs w:val="28"/>
        </w:rPr>
        <w:t xml:space="preserve">l est nécessaire d'avoir des justificatifs, tel qu'une note de frais, reprenant l'objet du déplacement, et le nombre de kilomètres réalisés. </w:t>
      </w:r>
    </w:p>
    <w:p w14:paraId="3FDBED78" w14:textId="77777777" w:rsidR="00B13ACF" w:rsidRPr="00B13ACF" w:rsidRDefault="00B13ACF" w:rsidP="00B13ACF">
      <w:pPr>
        <w:jc w:val="both"/>
        <w:rPr>
          <w:sz w:val="28"/>
          <w:szCs w:val="28"/>
        </w:rPr>
      </w:pPr>
    </w:p>
    <w:p w14:paraId="0EE4E04E" w14:textId="53300389" w:rsidR="00B13ACF" w:rsidRPr="00B13ACF" w:rsidRDefault="00B13ACF" w:rsidP="00B13ACF">
      <w:pPr>
        <w:jc w:val="both"/>
        <w:rPr>
          <w:sz w:val="28"/>
          <w:szCs w:val="28"/>
        </w:rPr>
      </w:pPr>
      <w:r w:rsidRPr="00B13ACF">
        <w:rPr>
          <w:sz w:val="28"/>
          <w:szCs w:val="28"/>
        </w:rPr>
        <w:t xml:space="preserve">Afin d'éviter tout risque vis à vis de l'Urssaf, </w:t>
      </w:r>
      <w:r>
        <w:rPr>
          <w:sz w:val="28"/>
          <w:szCs w:val="28"/>
        </w:rPr>
        <w:t xml:space="preserve">je pense que l’on peut se fier </w:t>
      </w:r>
      <w:r w:rsidRPr="00B13ACF">
        <w:rPr>
          <w:sz w:val="28"/>
          <w:szCs w:val="28"/>
        </w:rPr>
        <w:t>au barème fiscal pour les indemnités kilométriques.</w:t>
      </w:r>
    </w:p>
    <w:p w14:paraId="5E1B453B" w14:textId="77777777" w:rsidR="00B13ACF" w:rsidRPr="00B13ACF" w:rsidRDefault="00B13ACF" w:rsidP="00B13ACF">
      <w:pPr>
        <w:jc w:val="both"/>
        <w:rPr>
          <w:sz w:val="28"/>
          <w:szCs w:val="28"/>
        </w:rPr>
      </w:pPr>
    </w:p>
    <w:p w14:paraId="573BD6A7" w14:textId="77777777" w:rsidR="00B13ACF" w:rsidRPr="00B13ACF" w:rsidRDefault="00B13ACF" w:rsidP="00B13ACF">
      <w:pPr>
        <w:jc w:val="both"/>
        <w:rPr>
          <w:sz w:val="28"/>
          <w:szCs w:val="28"/>
        </w:rPr>
      </w:pPr>
      <w:r w:rsidRPr="00B13ACF">
        <w:rPr>
          <w:sz w:val="28"/>
          <w:szCs w:val="28"/>
        </w:rPr>
        <w:t>En cas d'accident lors de la conduite d'un véhicule cela pourrait éventuellement être reconnu en accident de travail.</w:t>
      </w:r>
    </w:p>
    <w:p w14:paraId="2DA6A5ED" w14:textId="5480018B" w:rsidR="00B13ACF" w:rsidRDefault="00B13ACF" w:rsidP="00B13ACF">
      <w:pPr>
        <w:jc w:val="both"/>
        <w:rPr>
          <w:sz w:val="28"/>
          <w:szCs w:val="28"/>
        </w:rPr>
      </w:pPr>
      <w:r w:rsidRPr="00B13ACF">
        <w:rPr>
          <w:sz w:val="28"/>
          <w:szCs w:val="28"/>
        </w:rPr>
        <w:t>Le caractère professionnel est susceptible d'être reconnu pour les accidents survenant pendant ou à l'occasion de l'exercice des fonctions représentatives. Ceci ne pose en général pas de problème lorsque l'accident a lieu à l'intérieur de l'entreprise pendant les heures de délégations ou dans le cadre d'une réunion. La question est plus délicate lorsque celui-ci a lieu hors de l'entreprise ou que le représentant du personnel intervient " à titre bénévole".</w:t>
      </w:r>
    </w:p>
    <w:p w14:paraId="4DC80650" w14:textId="0760DF44" w:rsidR="00B13ACF" w:rsidRPr="00B13ACF" w:rsidRDefault="00B13ACF" w:rsidP="00B13ACF">
      <w:pPr>
        <w:jc w:val="both"/>
        <w:rPr>
          <w:sz w:val="28"/>
          <w:szCs w:val="28"/>
        </w:rPr>
      </w:pPr>
      <w:r>
        <w:rPr>
          <w:sz w:val="28"/>
          <w:szCs w:val="28"/>
        </w:rPr>
        <w:t>C’est pourquoi, il est nécessaire selon moi de prévenir la direction par courriel par exemple en plus du bon de délégation de la nécessité d’utiliser un véhicule dans le champ de notre mission.</w:t>
      </w:r>
    </w:p>
    <w:p w14:paraId="6D384618" w14:textId="77777777" w:rsidR="00B13ACF" w:rsidRPr="00B13ACF" w:rsidRDefault="00B13ACF" w:rsidP="00B13ACF">
      <w:pPr>
        <w:jc w:val="both"/>
        <w:rPr>
          <w:sz w:val="28"/>
          <w:szCs w:val="28"/>
        </w:rPr>
      </w:pPr>
    </w:p>
    <w:p w14:paraId="22E5EE1F" w14:textId="77777777" w:rsidR="00B13ACF" w:rsidRPr="00B13ACF" w:rsidRDefault="00B13ACF" w:rsidP="00B13ACF">
      <w:pPr>
        <w:jc w:val="both"/>
        <w:rPr>
          <w:sz w:val="28"/>
          <w:szCs w:val="28"/>
        </w:rPr>
      </w:pPr>
      <w:r w:rsidRPr="00B13ACF">
        <w:rPr>
          <w:sz w:val="28"/>
          <w:szCs w:val="28"/>
        </w:rPr>
        <w:t xml:space="preserve">Ainsi à titre d'exemple, l'accident dont a été victime un suppléant du comité, membre de la commission des activités sociales et culturelles, au cours de la préparation d'une fête organisée par le comité est reconnu en accident de travail (Cass. </w:t>
      </w:r>
      <w:proofErr w:type="gramStart"/>
      <w:r w:rsidRPr="00B13ACF">
        <w:rPr>
          <w:sz w:val="28"/>
          <w:szCs w:val="28"/>
        </w:rPr>
        <w:t>soc</w:t>
      </w:r>
      <w:proofErr w:type="gramEnd"/>
      <w:r w:rsidRPr="00B13ACF">
        <w:rPr>
          <w:sz w:val="28"/>
          <w:szCs w:val="28"/>
        </w:rPr>
        <w:t>., 25 mai 1981, n° 80-11.523).</w:t>
      </w:r>
    </w:p>
    <w:p w14:paraId="69ECE836" w14:textId="2A61EB14" w:rsidR="00B13ACF" w:rsidRDefault="00B13ACF" w:rsidP="00B13ACF">
      <w:pPr>
        <w:jc w:val="both"/>
        <w:rPr>
          <w:sz w:val="28"/>
          <w:szCs w:val="28"/>
        </w:rPr>
      </w:pPr>
    </w:p>
    <w:p w14:paraId="09841AA9" w14:textId="77777777" w:rsidR="00B13ACF" w:rsidRPr="00B13ACF" w:rsidRDefault="00B13ACF" w:rsidP="00B13ACF">
      <w:pPr>
        <w:jc w:val="both"/>
        <w:rPr>
          <w:sz w:val="28"/>
          <w:szCs w:val="28"/>
        </w:rPr>
      </w:pPr>
    </w:p>
    <w:p w14:paraId="40954E5D" w14:textId="77777777" w:rsidR="00B13ACF" w:rsidRPr="00B13ACF" w:rsidRDefault="00B13ACF" w:rsidP="00B13ACF">
      <w:pPr>
        <w:jc w:val="both"/>
        <w:rPr>
          <w:sz w:val="28"/>
          <w:szCs w:val="28"/>
        </w:rPr>
      </w:pPr>
      <w:r w:rsidRPr="00B13ACF">
        <w:rPr>
          <w:sz w:val="28"/>
          <w:szCs w:val="28"/>
        </w:rPr>
        <w:lastRenderedPageBreak/>
        <w:t xml:space="preserve">Lorsqu'un élu intervient hors de l'entreprise il peut tenter d'invoquer l'accident de mission. En effet, pour les salariés en déplacement ou en mission, l'accident du travail est celui qui survient pendant le temps de la mission. Peu importe qu'il ait eu lieu à l'occasion d'un acte professionnel ou d'un acte de la vie courante, sauf si l'employeur ou la CPAM apporte la preuve que le salarié a interrompu sa mission pour un motif personnel. Il en est de même de l'accident survenu pendant le trajet, à l'aller ou au retour, entre le lieu de mission et l'entreprise ou le domicile du salarié (Cass. </w:t>
      </w:r>
      <w:proofErr w:type="gramStart"/>
      <w:r w:rsidRPr="00B13ACF">
        <w:rPr>
          <w:sz w:val="28"/>
          <w:szCs w:val="28"/>
        </w:rPr>
        <w:t>soc</w:t>
      </w:r>
      <w:proofErr w:type="gramEnd"/>
      <w:r w:rsidRPr="00B13ACF">
        <w:rPr>
          <w:sz w:val="28"/>
          <w:szCs w:val="28"/>
        </w:rPr>
        <w:t>., 19 juill. 2001, n° 99-21.536, n° 4117). Le représentant du personnel victime d'un accident à l'extérieur de l'entreprise pendant l'exercice de son mandat a tout intérêt à faire valoir qu'il était dans la même situation qu'un salarié en mission.</w:t>
      </w:r>
    </w:p>
    <w:p w14:paraId="3AEC0B18" w14:textId="77777777" w:rsidR="00B13ACF" w:rsidRPr="00B13ACF" w:rsidRDefault="00B13ACF" w:rsidP="00B13ACF">
      <w:pPr>
        <w:jc w:val="both"/>
        <w:rPr>
          <w:sz w:val="28"/>
          <w:szCs w:val="28"/>
        </w:rPr>
      </w:pPr>
    </w:p>
    <w:p w14:paraId="6B82592E" w14:textId="2BFF884F" w:rsidR="00B13ACF" w:rsidRDefault="00B13ACF" w:rsidP="00B13ACF">
      <w:pPr>
        <w:jc w:val="both"/>
        <w:rPr>
          <w:sz w:val="28"/>
          <w:szCs w:val="28"/>
        </w:rPr>
      </w:pPr>
      <w:r w:rsidRPr="00B13ACF">
        <w:rPr>
          <w:sz w:val="28"/>
          <w:szCs w:val="28"/>
        </w:rPr>
        <w:t>A titre d'exemple, il a été jugé que la chute dont a été victime une salariée, élue du CSE en faisant du patin à glace après la première journée de formation organisée par le CSE constituait bien un accident de travail (CA Amiens, 21 mai 2024, n° 22/02047).</w:t>
      </w:r>
    </w:p>
    <w:p w14:paraId="051CFA0C" w14:textId="43B14C71" w:rsidR="00B13ACF" w:rsidRDefault="00B13ACF" w:rsidP="00B13ACF">
      <w:pPr>
        <w:jc w:val="both"/>
        <w:rPr>
          <w:sz w:val="28"/>
          <w:szCs w:val="28"/>
        </w:rPr>
      </w:pPr>
    </w:p>
    <w:p w14:paraId="03CE59BB" w14:textId="1E58A5A5" w:rsidR="00B13ACF" w:rsidRDefault="00B13ACF" w:rsidP="00B13ACF">
      <w:pPr>
        <w:jc w:val="both"/>
        <w:rPr>
          <w:sz w:val="28"/>
          <w:szCs w:val="28"/>
        </w:rPr>
      </w:pPr>
      <w:r>
        <w:rPr>
          <w:sz w:val="28"/>
          <w:szCs w:val="28"/>
        </w:rPr>
        <w:t>Pour 2025 :</w:t>
      </w:r>
    </w:p>
    <w:p w14:paraId="49D7720C" w14:textId="32406561" w:rsidR="00B13ACF" w:rsidRDefault="00B13ACF" w:rsidP="00B13ACF">
      <w:pPr>
        <w:jc w:val="both"/>
        <w:rPr>
          <w:sz w:val="28"/>
          <w:szCs w:val="28"/>
        </w:rPr>
      </w:pPr>
      <w:r w:rsidRPr="00B13ACF">
        <w:rPr>
          <w:noProof/>
          <w:sz w:val="28"/>
          <w:szCs w:val="28"/>
        </w:rPr>
        <w:drawing>
          <wp:inline distT="0" distB="0" distL="0" distR="0" wp14:anchorId="5DE5D107" wp14:editId="5A2DAECF">
            <wp:extent cx="5760720" cy="35737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573780"/>
                    </a:xfrm>
                    <a:prstGeom prst="rect">
                      <a:avLst/>
                    </a:prstGeom>
                  </pic:spPr>
                </pic:pic>
              </a:graphicData>
            </a:graphic>
          </wp:inline>
        </w:drawing>
      </w:r>
    </w:p>
    <w:p w14:paraId="6B7E0C5B" w14:textId="4165CEAF" w:rsidR="00B13ACF" w:rsidRDefault="00B13ACF" w:rsidP="00B13ACF">
      <w:pPr>
        <w:jc w:val="both"/>
        <w:rPr>
          <w:sz w:val="28"/>
          <w:szCs w:val="28"/>
        </w:rPr>
      </w:pPr>
      <w:r w:rsidRPr="00B13ACF">
        <w:rPr>
          <w:noProof/>
          <w:sz w:val="28"/>
          <w:szCs w:val="28"/>
        </w:rPr>
        <w:lastRenderedPageBreak/>
        <w:drawing>
          <wp:inline distT="0" distB="0" distL="0" distR="0" wp14:anchorId="50A74BFD" wp14:editId="7500F938">
            <wp:extent cx="5760720" cy="263906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639060"/>
                    </a:xfrm>
                    <a:prstGeom prst="rect">
                      <a:avLst/>
                    </a:prstGeom>
                  </pic:spPr>
                </pic:pic>
              </a:graphicData>
            </a:graphic>
          </wp:inline>
        </w:drawing>
      </w:r>
    </w:p>
    <w:p w14:paraId="79B6D46E" w14:textId="1B1E3008" w:rsidR="00B13ACF" w:rsidRDefault="00B13ACF" w:rsidP="00B13ACF">
      <w:pPr>
        <w:jc w:val="both"/>
        <w:rPr>
          <w:sz w:val="28"/>
          <w:szCs w:val="28"/>
        </w:rPr>
      </w:pPr>
      <w:r w:rsidRPr="00B13ACF">
        <w:rPr>
          <w:noProof/>
          <w:sz w:val="28"/>
          <w:szCs w:val="28"/>
        </w:rPr>
        <w:drawing>
          <wp:inline distT="0" distB="0" distL="0" distR="0" wp14:anchorId="0CD7ECBC" wp14:editId="529D0D2D">
            <wp:extent cx="5760720" cy="123698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236980"/>
                    </a:xfrm>
                    <a:prstGeom prst="rect">
                      <a:avLst/>
                    </a:prstGeom>
                  </pic:spPr>
                </pic:pic>
              </a:graphicData>
            </a:graphic>
          </wp:inline>
        </w:drawing>
      </w:r>
    </w:p>
    <w:p w14:paraId="702575C6" w14:textId="29582C35" w:rsidR="00B13ACF" w:rsidRDefault="00B13ACF" w:rsidP="00B13ACF">
      <w:pPr>
        <w:jc w:val="both"/>
        <w:rPr>
          <w:sz w:val="28"/>
          <w:szCs w:val="28"/>
        </w:rPr>
      </w:pPr>
    </w:p>
    <w:p w14:paraId="36A4B7BC" w14:textId="379BA581" w:rsidR="00B13ACF" w:rsidRDefault="00B13ACF" w:rsidP="00B13ACF">
      <w:pPr>
        <w:jc w:val="both"/>
        <w:rPr>
          <w:sz w:val="28"/>
          <w:szCs w:val="28"/>
        </w:rPr>
      </w:pPr>
    </w:p>
    <w:p w14:paraId="69290AA5" w14:textId="668A5267" w:rsidR="00B13ACF" w:rsidRDefault="00B13ACF" w:rsidP="00B13ACF">
      <w:pPr>
        <w:jc w:val="both"/>
        <w:rPr>
          <w:sz w:val="28"/>
          <w:szCs w:val="28"/>
        </w:rPr>
      </w:pPr>
    </w:p>
    <w:p w14:paraId="638819EC" w14:textId="77577123" w:rsidR="00B13ACF" w:rsidRDefault="00B13ACF" w:rsidP="00B13ACF">
      <w:pPr>
        <w:jc w:val="both"/>
        <w:rPr>
          <w:sz w:val="28"/>
          <w:szCs w:val="28"/>
        </w:rPr>
      </w:pPr>
    </w:p>
    <w:p w14:paraId="709C35F6" w14:textId="33CF0E16" w:rsidR="00B13ACF" w:rsidRDefault="00B13ACF" w:rsidP="00B13ACF">
      <w:pPr>
        <w:jc w:val="both"/>
        <w:rPr>
          <w:sz w:val="28"/>
          <w:szCs w:val="28"/>
        </w:rPr>
      </w:pPr>
    </w:p>
    <w:p w14:paraId="295C353D" w14:textId="5173376E" w:rsidR="00B13ACF" w:rsidRDefault="00B13ACF" w:rsidP="00B13ACF">
      <w:pPr>
        <w:jc w:val="both"/>
        <w:rPr>
          <w:sz w:val="28"/>
          <w:szCs w:val="28"/>
        </w:rPr>
      </w:pPr>
    </w:p>
    <w:p w14:paraId="4C2261BC" w14:textId="5E0C3CEA" w:rsidR="00B13ACF" w:rsidRDefault="00B13ACF" w:rsidP="00B13ACF">
      <w:pPr>
        <w:jc w:val="both"/>
        <w:rPr>
          <w:sz w:val="28"/>
          <w:szCs w:val="28"/>
        </w:rPr>
      </w:pPr>
    </w:p>
    <w:p w14:paraId="1689D220" w14:textId="404EC56E" w:rsidR="00B13ACF" w:rsidRDefault="00B13ACF" w:rsidP="00B13ACF">
      <w:pPr>
        <w:jc w:val="both"/>
        <w:rPr>
          <w:sz w:val="28"/>
          <w:szCs w:val="28"/>
        </w:rPr>
      </w:pPr>
    </w:p>
    <w:p w14:paraId="28F8E275" w14:textId="6F145FA5" w:rsidR="00B13ACF" w:rsidRDefault="00B13ACF" w:rsidP="00B13ACF">
      <w:pPr>
        <w:jc w:val="both"/>
        <w:rPr>
          <w:sz w:val="28"/>
          <w:szCs w:val="28"/>
        </w:rPr>
      </w:pPr>
    </w:p>
    <w:p w14:paraId="7BA61F2B" w14:textId="2F06B9EB" w:rsidR="00B13ACF" w:rsidRDefault="00B13ACF" w:rsidP="00B13ACF">
      <w:pPr>
        <w:jc w:val="both"/>
        <w:rPr>
          <w:sz w:val="28"/>
          <w:szCs w:val="28"/>
        </w:rPr>
      </w:pPr>
    </w:p>
    <w:p w14:paraId="30174B9B" w14:textId="08BC4DFB" w:rsidR="00B13ACF" w:rsidRDefault="00B13ACF" w:rsidP="00B13ACF">
      <w:pPr>
        <w:jc w:val="both"/>
        <w:rPr>
          <w:sz w:val="28"/>
          <w:szCs w:val="28"/>
        </w:rPr>
      </w:pPr>
    </w:p>
    <w:p w14:paraId="3B085367" w14:textId="49745941" w:rsidR="00B13ACF" w:rsidRDefault="00B13ACF" w:rsidP="00B13ACF">
      <w:pPr>
        <w:jc w:val="both"/>
        <w:rPr>
          <w:sz w:val="28"/>
          <w:szCs w:val="28"/>
        </w:rPr>
      </w:pPr>
    </w:p>
    <w:p w14:paraId="0F90ED5B" w14:textId="45EE6E43" w:rsidR="00B13ACF" w:rsidRDefault="00B13ACF" w:rsidP="00B13ACF">
      <w:pPr>
        <w:jc w:val="both"/>
        <w:rPr>
          <w:sz w:val="28"/>
          <w:szCs w:val="28"/>
        </w:rPr>
      </w:pPr>
    </w:p>
    <w:p w14:paraId="6708CEA3" w14:textId="57EC3C4C" w:rsidR="00B13ACF" w:rsidRDefault="00B13ACF" w:rsidP="00B13ACF">
      <w:pPr>
        <w:jc w:val="both"/>
        <w:rPr>
          <w:sz w:val="28"/>
          <w:szCs w:val="28"/>
        </w:rPr>
      </w:pPr>
    </w:p>
    <w:p w14:paraId="1CD21DD5" w14:textId="43CF2F46" w:rsidR="00B13ACF" w:rsidRDefault="00B13ACF" w:rsidP="00B13ACF">
      <w:pPr>
        <w:jc w:val="both"/>
        <w:rPr>
          <w:sz w:val="28"/>
          <w:szCs w:val="28"/>
        </w:rPr>
      </w:pPr>
    </w:p>
    <w:p w14:paraId="7E55616C" w14:textId="3B191A53" w:rsidR="00B13ACF" w:rsidRPr="0025530D" w:rsidRDefault="00B13ACF" w:rsidP="0025530D">
      <w:pPr>
        <w:jc w:val="center"/>
        <w:rPr>
          <w:b/>
          <w:bCs/>
          <w:sz w:val="56"/>
          <w:szCs w:val="56"/>
        </w:rPr>
      </w:pPr>
      <w:r w:rsidRPr="0025530D">
        <w:rPr>
          <w:b/>
          <w:bCs/>
          <w:sz w:val="56"/>
          <w:szCs w:val="56"/>
          <w:highlight w:val="yellow"/>
        </w:rPr>
        <w:t>Formulaire</w:t>
      </w:r>
      <w:r w:rsidR="0025530D" w:rsidRPr="0025530D">
        <w:rPr>
          <w:b/>
          <w:bCs/>
          <w:sz w:val="56"/>
          <w:szCs w:val="56"/>
          <w:highlight w:val="yellow"/>
        </w:rPr>
        <w:t xml:space="preserve"> de remboursement</w:t>
      </w:r>
    </w:p>
    <w:p w14:paraId="725804DB" w14:textId="35BF3C79" w:rsidR="00A33465" w:rsidRDefault="00A33465" w:rsidP="00B13ACF">
      <w:pPr>
        <w:jc w:val="both"/>
        <w:rPr>
          <w:sz w:val="28"/>
          <w:szCs w:val="28"/>
        </w:rPr>
      </w:pPr>
    </w:p>
    <w:p w14:paraId="047FABA1" w14:textId="4EDD8DEC" w:rsidR="00A33465" w:rsidRPr="0025530D" w:rsidRDefault="00A33465" w:rsidP="00B13ACF">
      <w:pPr>
        <w:jc w:val="both"/>
        <w:rPr>
          <w:i/>
          <w:iCs/>
          <w:sz w:val="32"/>
          <w:szCs w:val="32"/>
          <w:highlight w:val="cyan"/>
        </w:rPr>
      </w:pPr>
      <w:r w:rsidRPr="0025530D">
        <w:rPr>
          <w:i/>
          <w:iCs/>
          <w:sz w:val="32"/>
          <w:szCs w:val="32"/>
          <w:highlight w:val="cyan"/>
        </w:rPr>
        <w:t>Date et horaire du déplacement :</w:t>
      </w:r>
    </w:p>
    <w:p w14:paraId="70345033" w14:textId="21F5AED0" w:rsidR="00B13ACF" w:rsidRPr="0025530D" w:rsidRDefault="00B13ACF" w:rsidP="00B13ACF">
      <w:pPr>
        <w:jc w:val="both"/>
        <w:rPr>
          <w:i/>
          <w:iCs/>
          <w:sz w:val="32"/>
          <w:szCs w:val="32"/>
          <w:highlight w:val="cyan"/>
        </w:rPr>
      </w:pPr>
    </w:p>
    <w:p w14:paraId="694025D2" w14:textId="2C8425E9" w:rsidR="00B13ACF" w:rsidRPr="0025530D" w:rsidRDefault="00B13ACF" w:rsidP="00B13ACF">
      <w:pPr>
        <w:jc w:val="both"/>
        <w:rPr>
          <w:i/>
          <w:iCs/>
          <w:sz w:val="32"/>
          <w:szCs w:val="32"/>
          <w:highlight w:val="cyan"/>
        </w:rPr>
      </w:pPr>
      <w:r w:rsidRPr="0025530D">
        <w:rPr>
          <w:i/>
          <w:iCs/>
          <w:sz w:val="32"/>
          <w:szCs w:val="32"/>
          <w:highlight w:val="cyan"/>
        </w:rPr>
        <w:t>Objet du déplacement :</w:t>
      </w:r>
    </w:p>
    <w:p w14:paraId="64AF2BBE" w14:textId="2F2E0F89" w:rsidR="00B13ACF" w:rsidRPr="0025530D" w:rsidRDefault="00B13ACF" w:rsidP="00B13ACF">
      <w:pPr>
        <w:jc w:val="both"/>
        <w:rPr>
          <w:i/>
          <w:iCs/>
          <w:sz w:val="32"/>
          <w:szCs w:val="32"/>
          <w:highlight w:val="cyan"/>
        </w:rPr>
      </w:pPr>
    </w:p>
    <w:p w14:paraId="1516C9BF" w14:textId="26466919" w:rsidR="00B13ACF" w:rsidRPr="0025530D" w:rsidRDefault="00B13ACF" w:rsidP="00B13ACF">
      <w:pPr>
        <w:jc w:val="both"/>
        <w:rPr>
          <w:i/>
          <w:iCs/>
          <w:sz w:val="32"/>
          <w:szCs w:val="32"/>
          <w:highlight w:val="cyan"/>
        </w:rPr>
      </w:pPr>
    </w:p>
    <w:p w14:paraId="763AAD36" w14:textId="6BC22938" w:rsidR="00B13ACF" w:rsidRPr="0025530D" w:rsidRDefault="00B13ACF" w:rsidP="00B13ACF">
      <w:pPr>
        <w:jc w:val="both"/>
        <w:rPr>
          <w:i/>
          <w:iCs/>
          <w:sz w:val="32"/>
          <w:szCs w:val="32"/>
          <w:highlight w:val="cyan"/>
        </w:rPr>
      </w:pPr>
      <w:r w:rsidRPr="0025530D">
        <w:rPr>
          <w:i/>
          <w:iCs/>
          <w:sz w:val="32"/>
          <w:szCs w:val="32"/>
          <w:highlight w:val="cyan"/>
        </w:rPr>
        <w:t>Nombre de kilomètres parcourus :</w:t>
      </w:r>
    </w:p>
    <w:p w14:paraId="12B43518" w14:textId="266594FD" w:rsidR="00B13ACF" w:rsidRPr="0025530D" w:rsidRDefault="00B13ACF" w:rsidP="00B13ACF">
      <w:pPr>
        <w:jc w:val="both"/>
        <w:rPr>
          <w:i/>
          <w:iCs/>
          <w:sz w:val="32"/>
          <w:szCs w:val="32"/>
          <w:highlight w:val="cyan"/>
        </w:rPr>
      </w:pPr>
    </w:p>
    <w:p w14:paraId="22117B63" w14:textId="13B757C3" w:rsidR="00B13ACF" w:rsidRPr="0025530D" w:rsidRDefault="00B13ACF" w:rsidP="00B13ACF">
      <w:pPr>
        <w:jc w:val="both"/>
        <w:rPr>
          <w:i/>
          <w:iCs/>
          <w:sz w:val="32"/>
          <w:szCs w:val="32"/>
          <w:highlight w:val="cyan"/>
        </w:rPr>
      </w:pPr>
    </w:p>
    <w:p w14:paraId="7BAEA2A9" w14:textId="259824A0" w:rsidR="00B13ACF" w:rsidRPr="0025530D" w:rsidRDefault="00B13ACF" w:rsidP="00B13ACF">
      <w:pPr>
        <w:jc w:val="both"/>
        <w:rPr>
          <w:i/>
          <w:iCs/>
          <w:sz w:val="32"/>
          <w:szCs w:val="32"/>
          <w:highlight w:val="cyan"/>
        </w:rPr>
      </w:pPr>
      <w:r w:rsidRPr="0025530D">
        <w:rPr>
          <w:i/>
          <w:iCs/>
          <w:sz w:val="32"/>
          <w:szCs w:val="32"/>
          <w:highlight w:val="cyan"/>
        </w:rPr>
        <w:t>Type de véhicule (photocopie carte grise)</w:t>
      </w:r>
      <w:r w:rsidR="00A33465" w:rsidRPr="0025530D">
        <w:rPr>
          <w:i/>
          <w:iCs/>
          <w:sz w:val="32"/>
          <w:szCs w:val="32"/>
          <w:highlight w:val="cyan"/>
        </w:rPr>
        <w:t xml:space="preserve"> </w:t>
      </w:r>
      <w:r w:rsidRPr="0025530D">
        <w:rPr>
          <w:i/>
          <w:iCs/>
          <w:sz w:val="32"/>
          <w:szCs w:val="32"/>
          <w:highlight w:val="cyan"/>
        </w:rPr>
        <w:t>:</w:t>
      </w:r>
    </w:p>
    <w:p w14:paraId="58C1D767" w14:textId="1F717CFC" w:rsidR="00A33465" w:rsidRPr="0025530D" w:rsidRDefault="00A33465" w:rsidP="00B13ACF">
      <w:pPr>
        <w:jc w:val="both"/>
        <w:rPr>
          <w:i/>
          <w:iCs/>
          <w:sz w:val="32"/>
          <w:szCs w:val="32"/>
          <w:highlight w:val="cyan"/>
        </w:rPr>
      </w:pPr>
    </w:p>
    <w:p w14:paraId="5FD49EF8" w14:textId="7AE37E9C" w:rsidR="00A33465" w:rsidRPr="0025530D" w:rsidRDefault="00A33465" w:rsidP="00B13ACF">
      <w:pPr>
        <w:jc w:val="both"/>
        <w:rPr>
          <w:i/>
          <w:iCs/>
          <w:sz w:val="32"/>
          <w:szCs w:val="32"/>
          <w:highlight w:val="cyan"/>
        </w:rPr>
      </w:pPr>
    </w:p>
    <w:p w14:paraId="047D23CE" w14:textId="082136CC" w:rsidR="00A33465" w:rsidRPr="0025530D" w:rsidRDefault="00A33465" w:rsidP="00B13ACF">
      <w:pPr>
        <w:jc w:val="both"/>
        <w:rPr>
          <w:i/>
          <w:iCs/>
          <w:sz w:val="32"/>
          <w:szCs w:val="32"/>
        </w:rPr>
      </w:pPr>
      <w:r w:rsidRPr="0025530D">
        <w:rPr>
          <w:i/>
          <w:iCs/>
          <w:sz w:val="32"/>
          <w:szCs w:val="32"/>
          <w:highlight w:val="cyan"/>
        </w:rPr>
        <w:t>Montant à rembourser :</w:t>
      </w:r>
    </w:p>
    <w:p w14:paraId="1098F627" w14:textId="5727E60C" w:rsidR="00A33465" w:rsidRPr="0025530D" w:rsidRDefault="00A33465" w:rsidP="00B13ACF">
      <w:pPr>
        <w:jc w:val="both"/>
        <w:rPr>
          <w:i/>
          <w:iCs/>
          <w:sz w:val="32"/>
          <w:szCs w:val="32"/>
        </w:rPr>
      </w:pPr>
    </w:p>
    <w:p w14:paraId="30B136D2" w14:textId="1990F5AD" w:rsidR="00A33465" w:rsidRPr="0025530D" w:rsidRDefault="00A33465" w:rsidP="00B13ACF">
      <w:pPr>
        <w:jc w:val="both"/>
        <w:rPr>
          <w:i/>
          <w:iCs/>
          <w:sz w:val="32"/>
          <w:szCs w:val="32"/>
        </w:rPr>
      </w:pPr>
    </w:p>
    <w:p w14:paraId="692DAA16" w14:textId="17E30FB2" w:rsidR="00A33465" w:rsidRPr="0025530D" w:rsidRDefault="00A33465" w:rsidP="00B13ACF">
      <w:pPr>
        <w:jc w:val="both"/>
        <w:rPr>
          <w:i/>
          <w:iCs/>
          <w:sz w:val="32"/>
          <w:szCs w:val="32"/>
        </w:rPr>
      </w:pPr>
    </w:p>
    <w:p w14:paraId="7CDDE33F" w14:textId="77777777" w:rsidR="00A33465" w:rsidRPr="0025530D" w:rsidRDefault="00A33465" w:rsidP="00B13ACF">
      <w:pPr>
        <w:jc w:val="both"/>
        <w:rPr>
          <w:i/>
          <w:iCs/>
          <w:sz w:val="32"/>
          <w:szCs w:val="32"/>
        </w:rPr>
      </w:pPr>
    </w:p>
    <w:sectPr w:rsidR="00A33465" w:rsidRPr="00255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A6"/>
    <w:rsid w:val="0025530D"/>
    <w:rsid w:val="007E67A6"/>
    <w:rsid w:val="00A33465"/>
    <w:rsid w:val="00B13ACF"/>
    <w:rsid w:val="00C13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3891"/>
  <w15:chartTrackingRefBased/>
  <w15:docId w15:val="{99FB1914-7BE2-42A1-AA96-63E5A77B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448</Words>
  <Characters>2468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vaquette</dc:creator>
  <cp:keywords/>
  <dc:description/>
  <cp:lastModifiedBy>olivier vaquette</cp:lastModifiedBy>
  <cp:revision>5</cp:revision>
  <dcterms:created xsi:type="dcterms:W3CDTF">2025-05-15T09:04:00Z</dcterms:created>
  <dcterms:modified xsi:type="dcterms:W3CDTF">2025-05-15T09:19:00Z</dcterms:modified>
</cp:coreProperties>
</file>